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2ada0e7335d4bc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35492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SUKOŠAN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1.998.425,64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2.457.664,01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1.684.270,81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1.847.312,90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314.154,83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610.351,11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194,3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174.575,12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32.353,13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1.213.052,00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391.433,68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1.038.476,88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359.080,55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171.319,46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103.634,85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60.423,15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60.423,15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190.847,41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poslovanja (6) ostvareni su u iznosu od 2.457.664,01 eura, što predstavlja porast od 23% u odnosu na 2025. godinu. Povećanje ukupnih prihoda izravna je posljedica rasta poreznih prihoda kao i povećanje prihoda od upravnih i administrativnih pristojbi  Prihodi od prodaje nefinancijske imovine (7) bilježe pad od 82%. Razlog smanjenja je  realizirani natječaj za prodaju općinskog zemljišta (s naplatom u siječnju 2025.), dok u 2026. godini nisu raspisivani novi natječaji, već su se prihodi ostvarivali isključivo kroz naplatu potraživanja iz prethodnih godina.</w:t>
      </w:r>
    </w:p>
    <w:p>
      <w:r>
        <w:t xml:space="preserve">Rashodi poslovanja (3) iznose 1.847.312,90 eura i bilježe umjeren i kontroliran rast od 9% u odnosu na prošlu godinu. Povećanje je vezano uz veće prijenose proračunskim korisnicima iz nadležnosti proračuna (uslijed rasta osnovice plaća i broja zaposlenih). Rashodi za nabavu nefinancijske imovine (4) iznose 391.433,68 eura i manji su za 68%. Smanjenje je posljedica manje realizacije troškova po stavci dodatnih ulaganja u nefinancijsku imovinu. Izdaci za financijsku imovinu (otplate glavnica) (5)  izvršeni su u iznosu od 60.423,15 eura. Navedeni iznos u cijelosti se odnosi na planske rashode namijenjene otplati glavnice kredita.</w:t>
      </w:r>
    </w:p>
    <w:p>
      <w:r>
        <w:t xml:space="preserve">Višak prihoda i primitaka u tekućem razdoblju iznosi 190.847,41 eura. Višak prihoda je nastao zbog ostvarenog rasta poreza i pristojbi za (23%). Iako su tekući rashodi poslovanja  porasli za 9% (što je kontrolirano i očekivano),  Rashodi za nabavu nefinancijske imovine manji su za  68% u odnosu na prethodnu godinu što je rezultat većih prihoda nad rashodima koji se u obliku viška prenose u buduće razdoblje.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1.998.425,64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2.457.664,01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w:t>
            </w:r>
          </w:p>
        </w:tc>
      </w:tr>
    </w:tbl>
    <w:p>
      <w:pPr>
        <w:spacing w:before="0" w:after="0"/>
      </w:pPr>
    </w:p>
    <w:p>
      <w:r>
        <w:t xml:space="preserve">Ostvareni prihodi poslovanja iznose 2.457.664,01 eura odnosno 23% više  nego u  2025. godini. Povećanje se bilježi u stavci prihodi od poreza, prihodi od imovine i prihodi od upravnih i administrativnih pristojbi kao i prihoda od kazni.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998.505,35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1.290.108,11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129,2</w:t>
            </w:r>
          </w:p>
        </w:tc>
      </w:tr>
    </w:tbl>
    <w:p>
      <w:pPr>
        <w:spacing w:before="0" w:after="0"/>
      </w:pPr>
    </w:p>
    <w:p>
      <w:r>
        <w:t xml:space="preserve">Ostvareni prihodi od poreza na dohodak u 2026. godini iznose 1.290.108,11 eura što je više za 291.602,76 eura u odnosu na prošlu godinu. Posljedica povećanja prihoda je rast gospodarstva, broja zaposlenih na području općine kao i bolja naplata poreza na dohodak koji su veći zbog povećanja plaća na području Općine Sukošan  tijekom 2026.  godine što je rezultiralo povećanje poreza na dohodak. Uslijed inflacijskih pritisaka i prilagodbe tržišta rada, zabilježen je opći rast bruto i neto plaća zaposlenika, što je automatski uvećalo poreznu osnovicu i ukupan iznos prikupljenog poreza. Do povećanja dolazi i zbog pozitivnog trenda doseljavanja radno aktivnog stanovništva na područje općine što je dodatno je proširio broj  poreznih obveznika.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323.703,18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470.119,07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w:t>
            </w:r>
          </w:p>
        </w:tc>
      </w:tr>
    </w:tbl>
    <w:p>
      <w:pPr>
        <w:spacing w:before="0" w:after="0"/>
      </w:pPr>
    </w:p>
    <w:p>
      <w:r>
        <w:t xml:space="preserve">Ostvareni prihodi od poreza na imovinu  iznose 470.0119,07 eura te su veći  u odnosu na prethodnu godinu za 45,2%. Povećanje se odnosi na porez na promet nekretninama koji je izravna posljedica intenziviranja aktivnosti na tržištu nekretnina na području Općine Sukošan. Uz samu povećanu prodaju, ovom pozitivnom rezultatu pridonijeli su i opći trend rasta cijena stambenih i građevinskih objekata te zemljišta na obalnom području koji je izravno utjecao na povećanje porezne osnovice, a time i na veći iznos razrezanog poreza po svakoj transakciji. Na povećanje navedenog poreza je utjecala pojačana dinamika novogradnje odnosno završetak i prodaja novih stambenih jedinica, koji postižu visoke tržišne cijene koje utječu na povećanje navedenog prihoda.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307.616,10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215.563,21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w:t>
            </w:r>
          </w:p>
        </w:tc>
      </w:tr>
    </w:tbl>
    <w:p>
      <w:pPr>
        <w:spacing w:before="0" w:after="0"/>
      </w:pPr>
    </w:p>
    <w:p>
      <w:r>
        <w:t xml:space="preserve">Pomoći od inozemstva i od subjekata unutar općeg proračuna iznose 215.563,21 eura i manji su u odnosu na 2025. godinu za 30% odnosno 92.052,89 eura. Razlog smanjenja je smanjenje pomoći temeljem prijenosa EU sredstava zbog smanjenja prijave na natječaj za sufinanciranje preko EU fondova koji je u 2025. godini bio ostvaren u većem iznosu. Smanjenje prihoda u 2026. godini izravna je posljedica manjeg broja otvorenih i prijavljenih natječaja za sufinanciranje u tekućem razdoblju. Povlačenje EU sredstava prirodno prati dinamiku raspisivanja natječaja koja varira od godine do godine. Općina se trenutno nalazi u fazi pripreme nove projektno-tehničke dokumentacije i čekanja evaluacije novih prijava.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72.243,48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100.711,14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w:t>
            </w:r>
          </w:p>
        </w:tc>
      </w:tr>
    </w:tbl>
    <w:p>
      <w:pPr>
        <w:spacing w:before="0" w:after="0"/>
      </w:pPr>
    </w:p>
    <w:p>
      <w:r>
        <w:t xml:space="preserve">Pomoći izravnavanja za decentralizirane funkcije iznosi 100.711,14 eura i bilježe povećanje od prethodne godine za 39%. Prihod se odnosi na pomoći fiskalnog izravnavanja. Ovaj prihod odnosi se na sredstva fiskalnog izravnavanja iz državnog proračuna.  Primjena izmijenjenih državnih koeficijenata i formula za dodjelu sredstava, čime je općini dodijeljen veći udio za ujednačavanje proračunskog kapaciteta.  Do navedenog rasta došlo je primarno zbog zakonskih prilagodbi u modelima i formulama izračuna na razini države. Država je kroz sustav izravnavanja i nove koeficijente dodijelila veća sredstva.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115.613,34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129.020,09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111,6</w:t>
            </w:r>
          </w:p>
        </w:tc>
      </w:tr>
    </w:tbl>
    <w:p>
      <w:pPr>
        <w:spacing w:before="0" w:after="0"/>
      </w:pPr>
    </w:p>
    <w:p>
      <w:r>
        <w:t xml:space="preserve">Prihodi od financijske imovine iznose 129.020,09 eura te bilježi povećanje od 11.60 % u odnosu na prošlogodišnje razdoblje . Povećanje prihoda se odnosi na stavku naknade za koncesije koje su zbog povećanja gospodarskih aktivnost na području općine te ugovaranje novih i reviziji postojećih koncesijskih odobrenja (posebice na pomorskom dobru i drugim javnim površinama) rezultirali većim priljevom sredstava po ovoj osnovi.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212.077,93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326.243,14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153,8</w:t>
            </w:r>
          </w:p>
        </w:tc>
      </w:tr>
    </w:tbl>
    <w:p>
      <w:pPr>
        <w:spacing w:before="0" w:after="0"/>
      </w:pPr>
    </w:p>
    <w:p>
      <w:r>
        <w:t xml:space="preserve">Prihodi od upravnih i administrativnih  pristojbi  bilježe povećanje od 53,8% u odnosu na 2025. godinu. Povećanje prihoda se odnosi na stavku komunalnog doprinos koji je posljedica većeg  broja izdanih Rješenja o komunalnom doprinosu zbog većeg broja izdanih građevinski dozvola i novih objekata.  Povećanje prihoda se odnosi i na stavku komunalne naknade čije povećanje  se odnosi na povećani broj obveznika plaćanja komunalne naknade koja je rezultat ažuriranja komunalnih evidencija čime je proširena baza obveznika i osigurana brža naplata prihoda.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i upravne mjere (šifre 6811 do 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w:t>
            </w:r>
          </w:p>
        </w:tc>
      </w:tr>
    </w:tbl>
    <w:p>
      <w:pPr>
        <w:spacing w:before="0" w:after="0"/>
      </w:pPr>
    </w:p>
    <w:p>
      <w:r>
        <w:t xml:space="preserve">Prihodi od kazna i upravnih mjera  predstavljaju smanjenje u iznosu od  63% te iznosi 1.810,00 eura.  Smanjenje prihoda se bilježi zbog manjeg broja izdanih i naplaćenih kazni za nepropisno parkiranje zbog boljeg pridržavanja  zakonskih propisa parkiranja na području Općine Sukošan. Smanjeni broj izdanih i naplaćenih kazni za nepropisno parkiranje ukazuje na to da se vozači na području Općine Sukošan u znatno većoj mjeri pridržavaju zakonskih propisa i prometne signalizacije.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1.684.270,81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1.847.312,90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bl>
    <w:p>
      <w:pPr>
        <w:spacing w:before="0" w:after="0"/>
      </w:pPr>
    </w:p>
    <w:p>
      <w:r>
        <w:t xml:space="preserve">Ostvareni rashodi poslovanja veći su za 9% odnosno 163.042,10 eura u odnosu na prošlogodišnje razdoblje. Povećanje rashoda bilježimo u stavci prijenosi proračunskih korisnika iz nadležnosti proračuna.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190.921,03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222.099,81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Rashodi za zaposlene su povećani u odnosu na prošlogodišnje razdoblje za 16,3%. Uzrok rasta rashoda je zakonsko povećanje osnovice za obračun plaća državnih službenika i namještenika, što se izravno reflektiralo i na plaće zaposlenika u lokalnoj samoupravi te institucijama koje se financiraju iz općinskog proračuna.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26.297,23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20.899,88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79,5</w:t>
            </w:r>
          </w:p>
        </w:tc>
      </w:tr>
    </w:tbl>
    <w:p>
      <w:pPr>
        <w:spacing w:before="0" w:after="0"/>
      </w:pPr>
    </w:p>
    <w:p>
      <w:r>
        <w:t xml:space="preserve">Financijski rashodi iznose 20.899,88 eura i manji su za 20% u odnosu na prošlogodišnje razdoblje.  Razlog smanjenja ove stavke je manji obračun troška kamata po kreditima. Naime, potpuna isplata i zatvaranje pojedinih kreditnih obveza u prošlogodišnjem razdoblju eliminirali su daljnje troškove pripadajućih kamatnih stopa u tekućoj godini.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511.022,11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602.959,28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bl>
    <w:p>
      <w:pPr>
        <w:spacing w:before="0" w:after="0"/>
      </w:pPr>
    </w:p>
    <w:p>
      <w:r>
        <w:t xml:space="preserve">Pomoći  dane u inozemstvo su veći za 18,00 % u odnosu na prethodnu godinu do povećanja dolazi u prijenosu sredstava proračunskom korisniku u  nadležnosti JUO Općine Sukošan. Do povećanja dolazi zbog porasta broja zaposlenih kod proračunskog korisnika što rezultira povećanje troškova ukupne mase sredstava potrebnu za njihovo redovno financiranje. Na rast ove stavke izravno je utjecalo i zakonsko podizanje proračunske osnovice za obračun plaća. Ova prilagodba rezultirala je većim pojedinačnim izdvajanjima za plaće i pripadajuće doprinose zaposlenika.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75.773,51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77.491,71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w:t>
            </w:r>
          </w:p>
        </w:tc>
      </w:tr>
    </w:tbl>
    <w:p>
      <w:pPr>
        <w:spacing w:before="0" w:after="0"/>
      </w:pPr>
    </w:p>
    <w:p>
      <w:r>
        <w:t xml:space="preserve">Naknade građanima i kućanstvima na temelju osiguranje i druge naknade iznosi 77.491,71 eura i u skladu su sa prošlogodišnjim razdobljem.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268.362,97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317.861,23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bl>
    <w:p>
      <w:pPr>
        <w:spacing w:before="0" w:after="0"/>
      </w:pPr>
    </w:p>
    <w:p>
      <w:r>
        <w:t xml:space="preserve">Ostali rashodi su veći su za 18,4% u odnosu na prošlogodišnje razdoblje zbog povećanja kapitalnih pomoći za podmirenje tekućih troškova poduzećima u vlasništvu JLS-a.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1.624.736,37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1.308.044,39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80,5</w:t>
            </w:r>
          </w:p>
        </w:tc>
      </w:tr>
    </w:tbl>
    <w:p>
      <w:pPr>
        <w:spacing w:before="0" w:after="0"/>
      </w:pPr>
    </w:p>
    <w:p>
      <w:r>
        <w:t xml:space="preserve">Preneseni višak poslovanja iznosi 1.308.044,39 eura.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174.575,12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32.353,13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w:t>
            </w:r>
          </w:p>
        </w:tc>
      </w:tr>
    </w:tbl>
    <w:p>
      <w:pPr>
        <w:spacing w:before="0" w:after="0"/>
      </w:pPr>
    </w:p>
    <w:p>
      <w:r>
        <w:t xml:space="preserve">Prihodi od prodaje nefinancijske imovine u 2026. godini bilježe smanjenje od 82% u odnosu na prethodnu godinu. Navedeni prihodi  se odnose na prodaju građevinskog zemljišta u vlasništvu Općine Sukošan, a pad ove stavke rezultat je planirane dinamike raspolaganja imovinom. Tijekom 2025. godine proveden je natječaj za prodaju općinskog zemljišta, čija je konačna realizacija i naplata izvršena u  2025. godini. U tijeku 2026. godine Općina Sukošan nije raspisivala nove natječaje za prodaju nekretnina i zemljišta. Prihodi ostvareni u ovoj proračunskoj godini rezultat su obročne naplate ili dospijeća obveza po ugovorima o prodaji koji su sklopljeni u prethodnim godinama.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1.213.052,00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391.433,68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w:t>
            </w:r>
          </w:p>
        </w:tc>
      </w:tr>
    </w:tbl>
    <w:p>
      <w:pPr>
        <w:spacing w:before="0" w:after="0"/>
      </w:pPr>
    </w:p>
    <w:p>
      <w:r>
        <w:t xml:space="preserve">Rashodi za nabavu nefinancijske imovine  iznose 391.433,68 i manji su za 67% u odnosu na prošlogodišnje razdoblje. Smanjenje se bilježi u stavci rashodi za dodatna ulaganja u nefinancijsku imovinu.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154.919,66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391.433,68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252,7</w:t>
            </w:r>
          </w:p>
        </w:tc>
      </w:tr>
    </w:tbl>
    <w:p>
      <w:pPr>
        <w:spacing w:before="0" w:after="0"/>
      </w:pPr>
    </w:p>
    <w:p>
      <w:r>
        <w:t xml:space="preserve">Rashodi za nabavu proizvedene imovine su veći za  236.514,20 eura u odnosu na prošlogodišnje razdoblje. Navedeni rashod se odnosi na financiranje i sufinanciranje „Izgradnje II faze sustava javne odvodnje i vodoopskrbe – Aglomeracija“ na području Općine Sukošan. Sukladno ugovorima o dodjeli bespovratnih sredstava, općina osigurava obvezni dio vlastitih (izvornih) sredstava kako bi pratila dinamika projekta.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1.058.132,34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Rashodi za dodatna ulaganja u nefinancijsku imovinu u ovom proračunskom razdoblju nisu realizirani, odnosno bilježe izvršenje od 0%.Do ne realizacije navedenih sredstava došlo je isključivo iz razloga što u tekućem razdoblju nije bilo stvarnih troškova  za financijskim obvezama po ovoj proračunskoj stavci.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i zajmova od kreditnih i ostalih financijskih institucija izvan javnog sektora (šifre 5443 do 5448)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103.634,85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60.423,15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w:t>
            </w:r>
          </w:p>
        </w:tc>
      </w:tr>
    </w:tbl>
    <w:p>
      <w:pPr>
        <w:spacing w:before="0" w:after="0"/>
      </w:pPr>
    </w:p>
    <w:p>
      <w:r>
        <w:t xml:space="preserve">Izdaci za financijsku imovinu su manji 42,00% odnosu na prošlogodišnje razdoblje te iznose 60.423,15 eura. Razlog smanjenja je isplata kredita za izgradnju društvenog doma i rivu koja je isplaćena u 2025. godini. Izdaci za financijsku imovinu i otplatu zajmova u 2026. godini koji iznose 60.423,15 eura i odnose se na otplatu glavnice kredita prema kvartalnim rokovima dospijeća u iznosu od  11.689,29 eura za izgradnju DV Gorica/19, 35.550,75 eura  za uređenje obalnog pojasa u Sukošanu, te  13.183,11 eura  za izgradnju tržnice u Sukošanu,</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968.098,93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1.498.891,80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154,8</w:t>
            </w:r>
          </w:p>
        </w:tc>
      </w:tr>
    </w:tbl>
    <w:p>
      <w:pPr>
        <w:spacing w:before="0" w:after="0"/>
      </w:pPr>
    </w:p>
    <w:p>
      <w:r>
        <w:t xml:space="preserve">Višak prihoda i primitaka raspoloživ u sljedećem razdoblju iznosi 1.498.891,80 eura, a sastoji se od viška prihoda koji je prenesen iz prethodnog razdoblja 1.308.044,39 eura i viška prihoda tekućeg razdoblja u iznosu od 190.847,41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2.511.410,30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01. siječnja. iznosi 2.511.410,30 eura koje se većim dijelom odnose na obveze po kreditima i jamstvima.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32.315,21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iznosi 32.315,21 eura. Navedeni iznos u cijelosti se odnosi na obveze za plaće i pripadajuće doprinose zaposlenika za mjesec lipanj. Sukladno računovodstvenim propisima plaća za tekući mjesec (lipanj) obračunava se po završetku tog mjeseca, a njezina redovna isplata i izvršenje provode se u idućem mjesecu (srpnju). S obzirom na to da se izvještajno razdoblje formalno zatvara s posljednjim danom lipnja, obveza za lipanjsku plaću ostaje evidentirana kao dospjela, ali neizvršena obveza na taj dan, te se njezino potpuno zatvaranje i likvidnost u proračunu očituju odmah početkom srpnja.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2.449.696,35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potraživanja iznosi 2.449.696,35 eura i odnosi se na obveze za kredite u iznosu od 2.425.801,01, kao i obveze za predujmove u iznosu od 23.895,34 eura.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9e8c59017b54e61" /></Relationships>
</file>